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701A" w14:textId="5F34A059" w:rsidR="000722FB" w:rsidRPr="000722FB" w:rsidRDefault="000722FB" w:rsidP="000722FB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722FB">
        <w:rPr>
          <w:rFonts w:ascii="Arial" w:hAnsi="Arial" w:cs="Arial"/>
          <w:b/>
          <w:sz w:val="32"/>
          <w:szCs w:val="32"/>
        </w:rPr>
        <w:t>FACTUURBEREKENING</w:t>
      </w:r>
    </w:p>
    <w:p w14:paraId="6DDD677D" w14:textId="77777777" w:rsidR="000722FB" w:rsidRDefault="000722FB" w:rsidP="000722FB">
      <w:pPr>
        <w:spacing w:line="360" w:lineRule="auto"/>
        <w:rPr>
          <w:rFonts w:ascii="Arial" w:hAnsi="Arial" w:cs="Arial"/>
        </w:rPr>
      </w:pPr>
    </w:p>
    <w:p w14:paraId="5A961716" w14:textId="4E2B82C1" w:rsidR="00D31EFA" w:rsidRPr="00D31EFA" w:rsidRDefault="00D31EFA">
      <w:pPr>
        <w:spacing w:line="360" w:lineRule="auto"/>
        <w:rPr>
          <w:rFonts w:ascii="Arial" w:hAnsi="Arial" w:cs="Arial"/>
          <w:sz w:val="32"/>
          <w:szCs w:val="32"/>
        </w:rPr>
      </w:pPr>
      <w:r w:rsidRPr="00D31EFA">
        <w:rPr>
          <w:sz w:val="32"/>
          <w:szCs w:val="32"/>
        </w:rPr>
        <w:t>Prijs * Hoeveelheid goederen</w:t>
      </w:r>
      <w:r w:rsidRPr="00D31EFA">
        <w:rPr>
          <w:sz w:val="32"/>
          <w:szCs w:val="32"/>
        </w:rPr>
        <w:br/>
        <w:t>- Commerciële korting</w:t>
      </w:r>
      <w:r w:rsidRPr="00D31EFA">
        <w:rPr>
          <w:sz w:val="32"/>
          <w:szCs w:val="32"/>
        </w:rPr>
        <w:br/>
        <w:t>+ Additionele kosten</w:t>
      </w:r>
      <w:r w:rsidRPr="00D31EFA">
        <w:rPr>
          <w:sz w:val="32"/>
          <w:szCs w:val="32"/>
        </w:rPr>
        <w:br/>
        <w:t>-------------------------------------------</w:t>
      </w:r>
      <w:r w:rsidRPr="00D31EFA">
        <w:rPr>
          <w:sz w:val="32"/>
          <w:szCs w:val="32"/>
        </w:rPr>
        <w:br/>
        <w:t>= Netto factuurprijs</w:t>
      </w:r>
      <w:r w:rsidRPr="00D31EFA">
        <w:rPr>
          <w:sz w:val="32"/>
          <w:szCs w:val="32"/>
        </w:rPr>
        <w:br/>
        <w:t>-Financiële korting</w:t>
      </w:r>
      <w:r w:rsidRPr="00D31EFA">
        <w:rPr>
          <w:sz w:val="32"/>
          <w:szCs w:val="32"/>
        </w:rPr>
        <w:br/>
        <w:t>-------------------------------------------</w:t>
      </w:r>
      <w:r w:rsidRPr="00D31EFA">
        <w:rPr>
          <w:sz w:val="32"/>
          <w:szCs w:val="32"/>
        </w:rPr>
        <w:br/>
        <w:t>= Maatstaf van heffing</w:t>
      </w:r>
      <w:r w:rsidRPr="00D31EFA">
        <w:rPr>
          <w:sz w:val="32"/>
          <w:szCs w:val="32"/>
        </w:rPr>
        <w:br/>
        <w:t>+ Btw op maartstaf van heffing</w:t>
      </w:r>
      <w:r w:rsidRPr="00D31EFA">
        <w:rPr>
          <w:sz w:val="32"/>
          <w:szCs w:val="32"/>
        </w:rPr>
        <w:br/>
        <w:t>-------------------------------------------</w:t>
      </w:r>
      <w:r w:rsidRPr="00D31EFA">
        <w:rPr>
          <w:sz w:val="32"/>
          <w:szCs w:val="32"/>
        </w:rPr>
        <w:br/>
        <w:t>= Totale factuurprijs zonder contante betaling</w:t>
      </w:r>
      <w:r w:rsidRPr="00D31EFA">
        <w:rPr>
          <w:sz w:val="32"/>
          <w:szCs w:val="32"/>
        </w:rPr>
        <w:br/>
        <w:t>- Financiële korting</w:t>
      </w:r>
      <w:r w:rsidRPr="00D31EFA">
        <w:rPr>
          <w:sz w:val="32"/>
          <w:szCs w:val="32"/>
        </w:rPr>
        <w:br/>
        <w:t>-------------------------------------------</w:t>
      </w:r>
      <w:r w:rsidRPr="00D31EFA">
        <w:rPr>
          <w:sz w:val="32"/>
          <w:szCs w:val="32"/>
        </w:rPr>
        <w:br/>
        <w:t>= Totale factuurprijs bij contante betaling</w:t>
      </w:r>
      <w:r w:rsidRPr="00D31EFA">
        <w:rPr>
          <w:rFonts w:ascii="Arial" w:hAnsi="Arial" w:cs="Arial"/>
          <w:sz w:val="32"/>
          <w:szCs w:val="32"/>
        </w:rPr>
        <w:br w:type="page"/>
      </w:r>
    </w:p>
    <w:p w14:paraId="61D822A4" w14:textId="6654B44F" w:rsidR="000722FB" w:rsidRPr="000722FB" w:rsidRDefault="000722FB" w:rsidP="000722FB">
      <w:pPr>
        <w:spacing w:line="360" w:lineRule="auto"/>
        <w:rPr>
          <w:rFonts w:ascii="Arial" w:hAnsi="Arial" w:cs="Arial"/>
        </w:rPr>
      </w:pPr>
      <w:r w:rsidRPr="000722FB">
        <w:rPr>
          <w:rFonts w:ascii="Arial" w:hAnsi="Arial" w:cs="Arial"/>
        </w:rPr>
        <w:lastRenderedPageBreak/>
        <w:t>Maak een gedetailleerde factuurberek</w:t>
      </w:r>
      <w:r w:rsidR="00E0374C">
        <w:rPr>
          <w:rFonts w:ascii="Arial" w:hAnsi="Arial" w:cs="Arial"/>
        </w:rPr>
        <w:t xml:space="preserve">ening van volgende verkoop. </w:t>
      </w:r>
      <w:proofErr w:type="spellStart"/>
      <w:r w:rsidR="00E0374C">
        <w:rPr>
          <w:rFonts w:ascii="Arial" w:hAnsi="Arial" w:cs="Arial"/>
        </w:rPr>
        <w:t>Paperazzi</w:t>
      </w:r>
      <w:proofErr w:type="spellEnd"/>
      <w:r w:rsidRPr="000722FB">
        <w:rPr>
          <w:rFonts w:ascii="Arial" w:hAnsi="Arial" w:cs="Arial"/>
        </w:rPr>
        <w:t xml:space="preserve"> verkoopt aan Drukkerij </w:t>
      </w:r>
      <w:r w:rsidR="00E0374C">
        <w:rPr>
          <w:rFonts w:ascii="Arial" w:hAnsi="Arial" w:cs="Arial"/>
        </w:rPr>
        <w:t>Vanzeir</w:t>
      </w:r>
      <w:r w:rsidRPr="000722FB">
        <w:rPr>
          <w:rFonts w:ascii="Arial" w:hAnsi="Arial" w:cs="Arial"/>
        </w:rPr>
        <w:t xml:space="preserve"> voor 24,02 EUR goederen aan 6 % BTW en voor 699,21 EUR goederen aan 21 % BTW; 5 % handelskorting; 3 % financiële korting bij betaling binnen de 7 dagen na factuurdatum; vervoerskosten 10,00 EUR en terugstuurb</w:t>
      </w:r>
      <w:r w:rsidR="00E0374C">
        <w:rPr>
          <w:rFonts w:ascii="Arial" w:hAnsi="Arial" w:cs="Arial"/>
        </w:rPr>
        <w:t>are verpakking: 15,00 EUR.</w:t>
      </w:r>
    </w:p>
    <w:tbl>
      <w:tblPr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701"/>
        <w:gridCol w:w="1701"/>
        <w:gridCol w:w="1701"/>
      </w:tblGrid>
      <w:tr w:rsidR="000722FB" w:rsidRPr="00071F69" w14:paraId="5A9ED50C" w14:textId="77777777" w:rsidTr="002F1B95">
        <w:tc>
          <w:tcPr>
            <w:tcW w:w="4083" w:type="dxa"/>
            <w:tcBorders>
              <w:bottom w:val="single" w:sz="4" w:space="0" w:color="000000"/>
            </w:tcBorders>
          </w:tcPr>
          <w:p w14:paraId="3BB5CDB6" w14:textId="77777777" w:rsidR="000722FB" w:rsidRPr="00071F69" w:rsidRDefault="000722FB" w:rsidP="002F1B95">
            <w:pPr>
              <w:spacing w:line="360" w:lineRule="auto"/>
              <w:rPr>
                <w:rFonts w:ascii="Arial" w:hAnsi="Arial" w:cs="Arial"/>
              </w:rPr>
            </w:pPr>
            <w:r w:rsidRPr="00071F69">
              <w:rPr>
                <w:rFonts w:ascii="Arial" w:hAnsi="Arial" w:cs="Arial"/>
              </w:rPr>
              <w:t>Omschrijving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A19AAE" w14:textId="77777777" w:rsidR="000722FB" w:rsidRPr="00071F69" w:rsidRDefault="000722FB" w:rsidP="002F1B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1F69">
              <w:rPr>
                <w:rFonts w:ascii="Arial" w:hAnsi="Arial" w:cs="Arial"/>
              </w:rPr>
              <w:t>6 %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B7DDB3" w14:textId="77777777" w:rsidR="000722FB" w:rsidRPr="00071F69" w:rsidRDefault="000722FB" w:rsidP="002F1B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1F69">
              <w:rPr>
                <w:rFonts w:ascii="Arial" w:hAnsi="Arial" w:cs="Arial"/>
              </w:rPr>
              <w:t>21 %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C109B8" w14:textId="77777777" w:rsidR="000722FB" w:rsidRPr="00071F69" w:rsidRDefault="000722FB" w:rsidP="002F1B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1F69">
              <w:rPr>
                <w:rFonts w:ascii="Arial" w:hAnsi="Arial" w:cs="Arial"/>
              </w:rPr>
              <w:t>Totaal</w:t>
            </w:r>
          </w:p>
        </w:tc>
      </w:tr>
      <w:tr w:rsidR="000722FB" w:rsidRPr="00071F69" w14:paraId="1A729032" w14:textId="77777777" w:rsidTr="002F1B95">
        <w:tc>
          <w:tcPr>
            <w:tcW w:w="4083" w:type="dxa"/>
            <w:tcBorders>
              <w:bottom w:val="single" w:sz="4" w:space="0" w:color="auto"/>
            </w:tcBorders>
          </w:tcPr>
          <w:p w14:paraId="1A601B48" w14:textId="77777777" w:rsidR="000722FB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Prijs van de goederen</w:t>
            </w:r>
          </w:p>
          <w:p w14:paraId="74035E89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  <w:u w:val="single"/>
              </w:rPr>
            </w:pPr>
            <w:r w:rsidRPr="002027FA">
              <w:rPr>
                <w:rFonts w:ascii="Arial" w:hAnsi="Arial" w:cs="Arial"/>
                <w:i/>
                <w:color w:val="1F497D"/>
                <w:u w:val="single"/>
              </w:rPr>
              <w:t xml:space="preserve">- </w:t>
            </w:r>
            <w:r>
              <w:rPr>
                <w:rFonts w:ascii="Arial" w:hAnsi="Arial" w:cs="Arial"/>
                <w:i/>
                <w:color w:val="1F497D"/>
                <w:u w:val="single"/>
              </w:rPr>
              <w:t xml:space="preserve">5% </w:t>
            </w:r>
            <w:r w:rsidRPr="002027FA">
              <w:rPr>
                <w:rFonts w:ascii="Arial" w:hAnsi="Arial" w:cs="Arial"/>
                <w:i/>
                <w:color w:val="1F497D"/>
                <w:u w:val="single"/>
              </w:rPr>
              <w:t>Handelskorting</w:t>
            </w:r>
          </w:p>
          <w:p w14:paraId="404EB59D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= Tussentotaal</w:t>
            </w:r>
          </w:p>
          <w:p w14:paraId="269A2E04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Vervoerskosten</w:t>
            </w:r>
          </w:p>
          <w:p w14:paraId="03E40B1A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= Tussentotaal</w:t>
            </w:r>
          </w:p>
          <w:p w14:paraId="5E8A8809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  <w:u w:val="single"/>
              </w:rPr>
            </w:pPr>
            <w:r w:rsidRPr="002027FA">
              <w:rPr>
                <w:rFonts w:ascii="Arial" w:hAnsi="Arial" w:cs="Arial"/>
                <w:i/>
                <w:color w:val="1F497D"/>
                <w:u w:val="single"/>
              </w:rPr>
              <w:t>- 3 % Financiële korting</w:t>
            </w:r>
          </w:p>
          <w:p w14:paraId="0391A5D4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MVH</w:t>
            </w:r>
          </w:p>
          <w:p w14:paraId="0593605B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BTW</w:t>
            </w:r>
          </w:p>
          <w:p w14:paraId="01E4283A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Tussentotaal</w:t>
            </w:r>
          </w:p>
          <w:p w14:paraId="28E7F025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Terugstuurbare verpakking</w:t>
            </w:r>
          </w:p>
          <w:p w14:paraId="64F48253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Totaal contant</w:t>
            </w:r>
          </w:p>
          <w:p w14:paraId="1338948E" w14:textId="77777777" w:rsidR="000722FB" w:rsidRPr="002027FA" w:rsidRDefault="000722FB" w:rsidP="002F1B95">
            <w:pPr>
              <w:spacing w:line="360" w:lineRule="auto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Totaal niet contant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A7BC5C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24,02</w:t>
            </w:r>
          </w:p>
          <w:p w14:paraId="49F21F24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- 1,20</w:t>
            </w:r>
          </w:p>
          <w:p w14:paraId="68A17C8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 w:rsidRPr="002027FA">
              <w:rPr>
                <w:rFonts w:ascii="Arial" w:hAnsi="Arial" w:cs="Arial"/>
                <w:i/>
                <w:color w:val="1F497D"/>
              </w:rPr>
              <w:t>22,82</w:t>
            </w:r>
          </w:p>
          <w:p w14:paraId="1632EF5B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+ 10,00</w:t>
            </w:r>
          </w:p>
          <w:p w14:paraId="3B154542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32,82</w:t>
            </w:r>
          </w:p>
          <w:p w14:paraId="3A0ECE97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- 0,98</w:t>
            </w:r>
          </w:p>
          <w:p w14:paraId="651859FC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31,84</w:t>
            </w:r>
          </w:p>
          <w:p w14:paraId="7240FE4C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+ 1,91</w:t>
            </w:r>
          </w:p>
          <w:p w14:paraId="42689D13" w14:textId="77777777" w:rsidR="000722FB" w:rsidRPr="002027FA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33,75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5EB84B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699,21</w:t>
            </w:r>
          </w:p>
          <w:p w14:paraId="46D0FFA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- 34,96</w:t>
            </w:r>
          </w:p>
          <w:p w14:paraId="5AEC341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664,25</w:t>
            </w:r>
          </w:p>
          <w:p w14:paraId="3296ECFC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+ 0,00</w:t>
            </w:r>
          </w:p>
          <w:p w14:paraId="630E53D7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664,25</w:t>
            </w:r>
          </w:p>
          <w:p w14:paraId="37B3463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- 19,93</w:t>
            </w:r>
          </w:p>
          <w:p w14:paraId="739936B1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664,32</w:t>
            </w:r>
          </w:p>
          <w:p w14:paraId="57D42387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+ 135,31</w:t>
            </w:r>
          </w:p>
          <w:p w14:paraId="0063DC5F" w14:textId="77777777" w:rsidR="000722FB" w:rsidRPr="002027FA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779,63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09D253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1DD67B4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4843C1FD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6A75F49A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4A35B526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097360A7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</w:p>
          <w:p w14:paraId="2A4FA516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696,16</w:t>
            </w:r>
          </w:p>
          <w:p w14:paraId="4C7CFC3B" w14:textId="77777777" w:rsidR="000722FB" w:rsidRPr="002027FA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137,22</w:t>
            </w:r>
          </w:p>
          <w:p w14:paraId="71E548F5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813,38</w:t>
            </w:r>
          </w:p>
          <w:p w14:paraId="042CE3EE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  <w:u w:val="single"/>
              </w:rPr>
            </w:pPr>
            <w:r>
              <w:rPr>
                <w:rFonts w:ascii="Arial" w:hAnsi="Arial" w:cs="Arial"/>
                <w:i/>
                <w:color w:val="1F497D"/>
                <w:u w:val="single"/>
              </w:rPr>
              <w:t>+ 15,00</w:t>
            </w:r>
          </w:p>
          <w:p w14:paraId="4930DDEE" w14:textId="77777777" w:rsidR="000722FB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828,38</w:t>
            </w:r>
          </w:p>
          <w:p w14:paraId="72BEBD56" w14:textId="77777777" w:rsidR="000722FB" w:rsidRPr="002027FA" w:rsidRDefault="000722FB" w:rsidP="002F1B95">
            <w:pPr>
              <w:spacing w:line="360" w:lineRule="auto"/>
              <w:jc w:val="right"/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</w:rPr>
              <w:t>849,29</w:t>
            </w:r>
          </w:p>
        </w:tc>
      </w:tr>
    </w:tbl>
    <w:p w14:paraId="38127CB2" w14:textId="77777777" w:rsidR="000722FB" w:rsidRDefault="000722FB" w:rsidP="000722FB">
      <w:pPr>
        <w:pStyle w:val="Lijstalinea"/>
        <w:spacing w:line="360" w:lineRule="auto"/>
        <w:ind w:left="357"/>
      </w:pPr>
    </w:p>
    <w:p w14:paraId="38468AC9" w14:textId="77777777" w:rsidR="00DB4199" w:rsidRDefault="00DB4199"/>
    <w:sectPr w:rsidR="00DB4199" w:rsidSect="00B534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A9B1" w14:textId="77777777" w:rsidR="00DC7A76" w:rsidRDefault="00DC7A76" w:rsidP="004524FC">
      <w:r>
        <w:separator/>
      </w:r>
    </w:p>
  </w:endnote>
  <w:endnote w:type="continuationSeparator" w:id="0">
    <w:p w14:paraId="6FD70E45" w14:textId="77777777" w:rsidR="00DC7A76" w:rsidRDefault="00DC7A76" w:rsidP="0045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EC6D" w14:textId="77777777" w:rsidR="00000000" w:rsidRPr="00BF151C" w:rsidRDefault="004524FC">
    <w:pPr>
      <w:pStyle w:val="Voettekst"/>
      <w:jc w:val="right"/>
      <w:rPr>
        <w:rFonts w:ascii="Arial" w:hAnsi="Arial" w:cs="Arial"/>
        <w:sz w:val="20"/>
        <w:szCs w:val="20"/>
      </w:rPr>
    </w:pPr>
    <w:r w:rsidRPr="00BF151C">
      <w:rPr>
        <w:rFonts w:ascii="Arial" w:hAnsi="Arial" w:cs="Arial"/>
        <w:sz w:val="20"/>
        <w:szCs w:val="20"/>
      </w:rPr>
      <w:fldChar w:fldCharType="begin"/>
    </w:r>
    <w:r w:rsidR="000722FB" w:rsidRPr="00BF151C">
      <w:rPr>
        <w:rFonts w:ascii="Arial" w:hAnsi="Arial" w:cs="Arial"/>
        <w:sz w:val="20"/>
        <w:szCs w:val="20"/>
      </w:rPr>
      <w:instrText xml:space="preserve"> PAGE   \* MERGEFORMAT </w:instrText>
    </w:r>
    <w:r w:rsidRPr="00BF151C">
      <w:rPr>
        <w:rFonts w:ascii="Arial" w:hAnsi="Arial" w:cs="Arial"/>
        <w:sz w:val="20"/>
        <w:szCs w:val="20"/>
      </w:rPr>
      <w:fldChar w:fldCharType="separate"/>
    </w:r>
    <w:r w:rsidR="00E0374C">
      <w:rPr>
        <w:rFonts w:ascii="Arial" w:hAnsi="Arial" w:cs="Arial"/>
        <w:noProof/>
        <w:sz w:val="20"/>
        <w:szCs w:val="20"/>
      </w:rPr>
      <w:t>1</w:t>
    </w:r>
    <w:r w:rsidRPr="00BF151C">
      <w:rPr>
        <w:rFonts w:ascii="Arial" w:hAnsi="Arial" w:cs="Arial"/>
        <w:sz w:val="20"/>
        <w:szCs w:val="20"/>
      </w:rPr>
      <w:fldChar w:fldCharType="end"/>
    </w:r>
  </w:p>
  <w:p w14:paraId="0785F987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214F" w14:textId="77777777" w:rsidR="00DC7A76" w:rsidRDefault="00DC7A76" w:rsidP="004524FC">
      <w:r>
        <w:separator/>
      </w:r>
    </w:p>
  </w:footnote>
  <w:footnote w:type="continuationSeparator" w:id="0">
    <w:p w14:paraId="7563DC6C" w14:textId="77777777" w:rsidR="00DC7A76" w:rsidRDefault="00DC7A76" w:rsidP="0045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473"/>
    <w:multiLevelType w:val="hybridMultilevel"/>
    <w:tmpl w:val="1F64974C"/>
    <w:lvl w:ilvl="0" w:tplc="1D129D84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0F6D09"/>
    <w:multiLevelType w:val="multilevel"/>
    <w:tmpl w:val="12F6D834"/>
    <w:lvl w:ilvl="0">
      <w:start w:val="1"/>
      <w:numFmt w:val="decimal"/>
      <w:pStyle w:val="MijnKop1"/>
      <w:lvlText w:val="%1"/>
      <w:lvlJc w:val="left"/>
      <w:pPr>
        <w:ind w:left="710" w:hanging="71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sz w:val="32"/>
      </w:rPr>
    </w:lvl>
  </w:abstractNum>
  <w:abstractNum w:abstractNumId="2" w15:restartNumberingAfterBreak="0">
    <w:nsid w:val="30057A42"/>
    <w:multiLevelType w:val="multilevel"/>
    <w:tmpl w:val="2652857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095465"/>
    <w:multiLevelType w:val="hybridMultilevel"/>
    <w:tmpl w:val="F0F81514"/>
    <w:lvl w:ilvl="0" w:tplc="3634CB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1280"/>
    <w:multiLevelType w:val="hybridMultilevel"/>
    <w:tmpl w:val="20F01F0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D21C8"/>
    <w:multiLevelType w:val="hybridMultilevel"/>
    <w:tmpl w:val="63F63C4E"/>
    <w:lvl w:ilvl="0" w:tplc="D7B4D2A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7F4F"/>
    <w:multiLevelType w:val="hybridMultilevel"/>
    <w:tmpl w:val="9EBE5BE2"/>
    <w:lvl w:ilvl="0" w:tplc="C310E21C">
      <w:start w:val="1"/>
      <w:numFmt w:val="decimal"/>
      <w:pStyle w:val="Kop2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167813">
    <w:abstractNumId w:val="1"/>
  </w:num>
  <w:num w:numId="2" w16cid:durableId="30964952">
    <w:abstractNumId w:val="1"/>
  </w:num>
  <w:num w:numId="3" w16cid:durableId="2079548961">
    <w:abstractNumId w:val="1"/>
  </w:num>
  <w:num w:numId="4" w16cid:durableId="580221303">
    <w:abstractNumId w:val="2"/>
  </w:num>
  <w:num w:numId="5" w16cid:durableId="1331758622">
    <w:abstractNumId w:val="1"/>
  </w:num>
  <w:num w:numId="6" w16cid:durableId="548876681">
    <w:abstractNumId w:val="2"/>
  </w:num>
  <w:num w:numId="7" w16cid:durableId="700011425">
    <w:abstractNumId w:val="2"/>
  </w:num>
  <w:num w:numId="8" w16cid:durableId="1188760677">
    <w:abstractNumId w:val="2"/>
  </w:num>
  <w:num w:numId="9" w16cid:durableId="1563559477">
    <w:abstractNumId w:val="3"/>
  </w:num>
  <w:num w:numId="10" w16cid:durableId="224486029">
    <w:abstractNumId w:val="2"/>
  </w:num>
  <w:num w:numId="11" w16cid:durableId="194657267">
    <w:abstractNumId w:val="2"/>
  </w:num>
  <w:num w:numId="12" w16cid:durableId="1493594875">
    <w:abstractNumId w:val="0"/>
  </w:num>
  <w:num w:numId="13" w16cid:durableId="1020742622">
    <w:abstractNumId w:val="2"/>
  </w:num>
  <w:num w:numId="14" w16cid:durableId="990523528">
    <w:abstractNumId w:val="2"/>
  </w:num>
  <w:num w:numId="15" w16cid:durableId="868682847">
    <w:abstractNumId w:val="2"/>
  </w:num>
  <w:num w:numId="16" w16cid:durableId="1486121044">
    <w:abstractNumId w:val="2"/>
  </w:num>
  <w:num w:numId="17" w16cid:durableId="1566137902">
    <w:abstractNumId w:val="2"/>
  </w:num>
  <w:num w:numId="18" w16cid:durableId="700743170">
    <w:abstractNumId w:val="2"/>
  </w:num>
  <w:num w:numId="19" w16cid:durableId="1316959429">
    <w:abstractNumId w:val="2"/>
  </w:num>
  <w:num w:numId="20" w16cid:durableId="795871757">
    <w:abstractNumId w:val="2"/>
  </w:num>
  <w:num w:numId="21" w16cid:durableId="120076527">
    <w:abstractNumId w:val="5"/>
  </w:num>
  <w:num w:numId="22" w16cid:durableId="753362563">
    <w:abstractNumId w:val="6"/>
  </w:num>
  <w:num w:numId="23" w16cid:durableId="975646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FB"/>
    <w:rsid w:val="00005A26"/>
    <w:rsid w:val="000134B9"/>
    <w:rsid w:val="00061D7A"/>
    <w:rsid w:val="00062916"/>
    <w:rsid w:val="000722FB"/>
    <w:rsid w:val="000838F9"/>
    <w:rsid w:val="001A37DB"/>
    <w:rsid w:val="001B7E18"/>
    <w:rsid w:val="001D1B43"/>
    <w:rsid w:val="00251A4D"/>
    <w:rsid w:val="00294FBD"/>
    <w:rsid w:val="002D5E47"/>
    <w:rsid w:val="0040484C"/>
    <w:rsid w:val="0041510C"/>
    <w:rsid w:val="00430291"/>
    <w:rsid w:val="004524FC"/>
    <w:rsid w:val="00487A24"/>
    <w:rsid w:val="0053722F"/>
    <w:rsid w:val="005F3B5A"/>
    <w:rsid w:val="006C14E2"/>
    <w:rsid w:val="007C2D01"/>
    <w:rsid w:val="0088083D"/>
    <w:rsid w:val="008C0265"/>
    <w:rsid w:val="008D1675"/>
    <w:rsid w:val="00901144"/>
    <w:rsid w:val="009B63DD"/>
    <w:rsid w:val="00A230BB"/>
    <w:rsid w:val="00AD47C0"/>
    <w:rsid w:val="00B509F8"/>
    <w:rsid w:val="00BD7607"/>
    <w:rsid w:val="00CC1603"/>
    <w:rsid w:val="00CE0AAC"/>
    <w:rsid w:val="00D22CAF"/>
    <w:rsid w:val="00D31EFA"/>
    <w:rsid w:val="00DB4199"/>
    <w:rsid w:val="00DC7A76"/>
    <w:rsid w:val="00DF4C51"/>
    <w:rsid w:val="00E0374C"/>
    <w:rsid w:val="00E52EE6"/>
    <w:rsid w:val="00E713D7"/>
    <w:rsid w:val="00EB1001"/>
    <w:rsid w:val="00EC2B03"/>
    <w:rsid w:val="00F8489F"/>
    <w:rsid w:val="00FC41C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BE82"/>
  <w15:docId w15:val="{2582B0E5-C593-4F15-814D-5BB4AEB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2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styleId="Kop1">
    <w:name w:val="heading 1"/>
    <w:basedOn w:val="Standaard"/>
    <w:next w:val="Standaard"/>
    <w:link w:val="Kop1Char"/>
    <w:autoRedefine/>
    <w:qFormat/>
    <w:rsid w:val="009B63DD"/>
    <w:pPr>
      <w:keepNext/>
      <w:keepLines/>
      <w:numPr>
        <w:numId w:val="20"/>
      </w:numPr>
      <w:tabs>
        <w:tab w:val="left" w:pos="-1440"/>
        <w:tab w:val="left" w:pos="-720"/>
      </w:tabs>
      <w:spacing w:before="480"/>
      <w:outlineLvl w:val="0"/>
    </w:pPr>
    <w:rPr>
      <w:rFonts w:eastAsiaTheme="majorEastAsia" w:cstheme="majorBidi"/>
      <w:b/>
      <w:bCs/>
      <w:spacing w:val="-2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autoRedefine/>
    <w:unhideWhenUsed/>
    <w:qFormat/>
    <w:rsid w:val="00EB1001"/>
    <w:pPr>
      <w:keepNext/>
      <w:numPr>
        <w:numId w:val="22"/>
      </w:numPr>
      <w:tabs>
        <w:tab w:val="left" w:pos="-1440"/>
        <w:tab w:val="left" w:pos="-720"/>
      </w:tabs>
      <w:outlineLvl w:val="1"/>
    </w:pPr>
    <w:rPr>
      <w:rFonts w:eastAsiaTheme="majorEastAsia" w:cstheme="majorBidi"/>
      <w:b/>
      <w:bCs/>
      <w:spacing w:val="-2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autoRedefine/>
    <w:unhideWhenUsed/>
    <w:qFormat/>
    <w:rsid w:val="009B63DD"/>
    <w:pPr>
      <w:keepNext/>
      <w:keepLines/>
      <w:numPr>
        <w:ilvl w:val="2"/>
        <w:numId w:val="20"/>
      </w:numPr>
      <w:tabs>
        <w:tab w:val="left" w:pos="-1440"/>
        <w:tab w:val="left" w:pos="-720"/>
      </w:tabs>
      <w:spacing w:before="200"/>
      <w:outlineLvl w:val="2"/>
    </w:pPr>
    <w:rPr>
      <w:rFonts w:asciiTheme="majorHAnsi" w:eastAsiaTheme="majorEastAsia" w:hAnsiTheme="majorHAnsi" w:cstheme="majorBidi"/>
      <w:b/>
      <w:bCs/>
      <w:spacing w:val="-2"/>
      <w:szCs w:val="20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63D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63D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63D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63D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63D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63D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63DD"/>
    <w:rPr>
      <w:rFonts w:ascii="Times New Roman" w:eastAsiaTheme="majorEastAsia" w:hAnsi="Times New Roman" w:cstheme="majorBidi"/>
      <w:b/>
      <w:bCs/>
      <w:spacing w:val="-2"/>
      <w:sz w:val="28"/>
      <w:szCs w:val="28"/>
      <w:lang w:val="nl-NL" w:eastAsia="nl-BE" w:bidi="ar-SA"/>
    </w:rPr>
  </w:style>
  <w:style w:type="character" w:customStyle="1" w:styleId="Kop2Char">
    <w:name w:val="Kop 2 Char"/>
    <w:basedOn w:val="Standaardalinea-lettertype"/>
    <w:link w:val="Kop2"/>
    <w:rsid w:val="00EB1001"/>
    <w:rPr>
      <w:rFonts w:ascii="Times New Roman" w:eastAsiaTheme="majorEastAsia" w:hAnsi="Times New Roman" w:cstheme="majorBidi"/>
      <w:b/>
      <w:bCs/>
      <w:spacing w:val="-2"/>
      <w:sz w:val="26"/>
      <w:szCs w:val="26"/>
      <w:lang w:val="nl-NL" w:eastAsia="nl-BE" w:bidi="ar-SA"/>
    </w:rPr>
  </w:style>
  <w:style w:type="character" w:customStyle="1" w:styleId="Kop3Char">
    <w:name w:val="Kop 3 Char"/>
    <w:basedOn w:val="Standaardalinea-lettertype"/>
    <w:link w:val="Kop3"/>
    <w:rsid w:val="00430291"/>
    <w:rPr>
      <w:rFonts w:asciiTheme="majorHAnsi" w:eastAsiaTheme="majorEastAsia" w:hAnsiTheme="majorHAnsi" w:cstheme="majorBidi"/>
      <w:b/>
      <w:bCs/>
      <w:spacing w:val="-2"/>
      <w:sz w:val="24"/>
      <w:szCs w:val="20"/>
      <w:lang w:val="nl-NL" w:eastAsia="nl-BE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484C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484C"/>
    <w:rPr>
      <w:rFonts w:asciiTheme="majorHAnsi" w:eastAsiaTheme="majorEastAsia" w:hAnsiTheme="majorHAnsi" w:cstheme="majorBidi"/>
      <w:color w:val="243F60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484C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484C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484C"/>
    <w:rPr>
      <w:rFonts w:asciiTheme="majorHAnsi" w:eastAsiaTheme="majorEastAsia" w:hAnsiTheme="majorHAnsi" w:cstheme="majorBidi"/>
      <w:color w:val="4F81BD" w:themeColor="accent1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4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484C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04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04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4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4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484C"/>
    <w:rPr>
      <w:b/>
      <w:bCs/>
    </w:rPr>
  </w:style>
  <w:style w:type="character" w:styleId="Nadruk">
    <w:name w:val="Emphasis"/>
    <w:basedOn w:val="Standaardalinea-lettertype"/>
    <w:uiPriority w:val="20"/>
    <w:qFormat/>
    <w:rsid w:val="0040484C"/>
    <w:rPr>
      <w:i/>
      <w:iCs/>
    </w:rPr>
  </w:style>
  <w:style w:type="paragraph" w:styleId="Geenafstand">
    <w:name w:val="No Spacing"/>
    <w:link w:val="GeenafstandChar"/>
    <w:uiPriority w:val="1"/>
    <w:qFormat/>
    <w:rsid w:val="0040484C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0484C"/>
  </w:style>
  <w:style w:type="paragraph" w:styleId="Lijstalinea">
    <w:name w:val="List Paragraph"/>
    <w:basedOn w:val="Standaard"/>
    <w:uiPriority w:val="34"/>
    <w:qFormat/>
    <w:rsid w:val="0040484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484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484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48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484C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40484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40484C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048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48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0484C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0484C"/>
    <w:pPr>
      <w:outlineLvl w:val="9"/>
    </w:pPr>
  </w:style>
  <w:style w:type="paragraph" w:customStyle="1" w:styleId="MijnKop1">
    <w:name w:val="Mijn Kop 1"/>
    <w:basedOn w:val="Standaard"/>
    <w:link w:val="MijnKop1Char"/>
    <w:autoRedefine/>
    <w:qFormat/>
    <w:rsid w:val="000838F9"/>
    <w:pPr>
      <w:numPr>
        <w:numId w:val="5"/>
      </w:numPr>
      <w:spacing w:after="240"/>
      <w:jc w:val="both"/>
    </w:pPr>
    <w:rPr>
      <w:b/>
      <w:sz w:val="32"/>
      <w:szCs w:val="32"/>
      <w:lang w:val="nl-NL" w:eastAsia="nl-NL"/>
    </w:rPr>
  </w:style>
  <w:style w:type="character" w:customStyle="1" w:styleId="MijnKop1Char">
    <w:name w:val="Mijn Kop 1 Char"/>
    <w:basedOn w:val="Standaardalinea-lettertype"/>
    <w:link w:val="MijnKop1"/>
    <w:rsid w:val="000838F9"/>
    <w:rPr>
      <w:rFonts w:ascii="Verdana" w:eastAsia="Times New Roman" w:hAnsi="Verdana" w:cs="Times New Roman"/>
      <w:b/>
      <w:sz w:val="32"/>
      <w:szCs w:val="32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072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2FB"/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gisele greday</cp:lastModifiedBy>
  <cp:revision>2</cp:revision>
  <dcterms:created xsi:type="dcterms:W3CDTF">2023-12-04T09:33:00Z</dcterms:created>
  <dcterms:modified xsi:type="dcterms:W3CDTF">2023-12-04T09:33:00Z</dcterms:modified>
</cp:coreProperties>
</file>